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42" w:rsidRDefault="009E5042" w:rsidP="009E5042">
      <w:pPr>
        <w:spacing w:after="0" w:line="360" w:lineRule="auto"/>
        <w:rPr>
          <w:rFonts w:ascii="Times New Roman" w:hAnsi="Times New Roman" w:cs="Times New Roman"/>
        </w:rPr>
      </w:pPr>
    </w:p>
    <w:p w:rsidR="009E5042" w:rsidRPr="002C0D4F" w:rsidRDefault="009E5042" w:rsidP="002C0D4F">
      <w:pPr>
        <w:pStyle w:val="1"/>
        <w:shd w:val="clear" w:color="auto" w:fill="FFFFFF"/>
        <w:spacing w:before="0" w:line="360" w:lineRule="auto"/>
        <w:ind w:firstLine="550"/>
        <w:jc w:val="center"/>
        <w:rPr>
          <w:rFonts w:ascii="Times New Roman" w:hAnsi="Times New Roman" w:cs="Times New Roman"/>
          <w:color w:val="auto"/>
          <w:u w:val="single"/>
        </w:rPr>
      </w:pPr>
      <w:r w:rsidRPr="002C0D4F">
        <w:rPr>
          <w:rFonts w:ascii="Times New Roman" w:hAnsi="Times New Roman" w:cs="Times New Roman"/>
          <w:color w:val="auto"/>
          <w:u w:val="single"/>
        </w:rPr>
        <w:t xml:space="preserve">Основания для проведения </w:t>
      </w:r>
      <w:proofErr w:type="spellStart"/>
      <w:r w:rsidRPr="002C0D4F">
        <w:rPr>
          <w:rFonts w:ascii="Times New Roman" w:hAnsi="Times New Roman" w:cs="Times New Roman"/>
          <w:color w:val="auto"/>
          <w:u w:val="single"/>
        </w:rPr>
        <w:t>туберкулинодиагностики</w:t>
      </w:r>
      <w:proofErr w:type="spellEnd"/>
      <w:r w:rsidR="002C0D4F">
        <w:rPr>
          <w:rFonts w:ascii="Times New Roman" w:hAnsi="Times New Roman" w:cs="Times New Roman"/>
          <w:color w:val="auto"/>
          <w:u w:val="single"/>
        </w:rPr>
        <w:t>.</w:t>
      </w:r>
    </w:p>
    <w:p w:rsidR="009E5042" w:rsidRPr="002C0D4F" w:rsidRDefault="009E5042" w:rsidP="002C0D4F">
      <w:pPr>
        <w:pStyle w:val="hp"/>
        <w:shd w:val="clear" w:color="auto" w:fill="FFFFFF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0" w:name="me3"/>
      <w:bookmarkEnd w:id="0"/>
      <w:r w:rsidRPr="002C0D4F">
        <w:rPr>
          <w:sz w:val="28"/>
          <w:szCs w:val="28"/>
        </w:rPr>
        <w:t>Обязательность соблюдения</w:t>
      </w:r>
      <w:r w:rsidRPr="002C0D4F">
        <w:rPr>
          <w:rStyle w:val="apple-converted-space"/>
          <w:sz w:val="28"/>
          <w:szCs w:val="28"/>
        </w:rPr>
        <w:t> </w:t>
      </w:r>
      <w:hyperlink r:id="rId4" w:history="1">
        <w:r w:rsidRPr="002C0D4F">
          <w:rPr>
            <w:rStyle w:val="a4"/>
            <w:color w:val="auto"/>
            <w:sz w:val="28"/>
            <w:szCs w:val="28"/>
          </w:rPr>
          <w:t>мероприятий</w:t>
        </w:r>
      </w:hyperlink>
      <w:r w:rsidRPr="002C0D4F">
        <w:rPr>
          <w:sz w:val="28"/>
          <w:szCs w:val="28"/>
        </w:rPr>
        <w:t>, направленных на предупреждение распространения такого социально опасного заболевания, как</w:t>
      </w:r>
      <w:r w:rsidRPr="002C0D4F">
        <w:rPr>
          <w:rStyle w:val="apple-converted-space"/>
          <w:sz w:val="28"/>
          <w:szCs w:val="28"/>
        </w:rPr>
        <w:t> </w:t>
      </w:r>
      <w:hyperlink r:id="rId5" w:history="1">
        <w:r w:rsidRPr="002C0D4F">
          <w:rPr>
            <w:rStyle w:val="a4"/>
            <w:color w:val="auto"/>
            <w:sz w:val="28"/>
            <w:szCs w:val="28"/>
          </w:rPr>
          <w:t>туберкулез</w:t>
        </w:r>
      </w:hyperlink>
      <w:r w:rsidRPr="002C0D4F">
        <w:rPr>
          <w:sz w:val="28"/>
          <w:szCs w:val="28"/>
        </w:rPr>
        <w:t>, регламентирована Федеральным законом от 18.06.2001</w:t>
      </w:r>
      <w:r w:rsidRPr="002C0D4F">
        <w:rPr>
          <w:rStyle w:val="apple-converted-space"/>
          <w:sz w:val="28"/>
          <w:szCs w:val="28"/>
        </w:rPr>
        <w:t> </w:t>
      </w:r>
      <w:hyperlink r:id="rId6" w:tgtFrame="_blank" w:history="1">
        <w:r w:rsidRPr="002C0D4F">
          <w:rPr>
            <w:rStyle w:val="a4"/>
            <w:color w:val="auto"/>
            <w:sz w:val="28"/>
            <w:szCs w:val="28"/>
          </w:rPr>
          <w:t>№ 77-ФЗ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>"О предупреждении распространения туберкулеза в Российской Федерации" (далее – Федеральный закон № 77-ФЗ).</w:t>
      </w:r>
    </w:p>
    <w:p w:rsidR="009E5042" w:rsidRPr="002C0D4F" w:rsidRDefault="009E5042" w:rsidP="002C0D4F">
      <w:pPr>
        <w:pStyle w:val="hp"/>
        <w:shd w:val="clear" w:color="auto" w:fill="FFFFFF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1" w:name="x2ftyk995cx94q1pt7sw2e90s4"/>
      <w:bookmarkEnd w:id="1"/>
      <w:r w:rsidRPr="002C0D4F">
        <w:rPr>
          <w:sz w:val="28"/>
          <w:szCs w:val="28"/>
        </w:rPr>
        <w:t>Согласно</w:t>
      </w:r>
      <w:r w:rsidRPr="002C0D4F">
        <w:rPr>
          <w:rStyle w:val="apple-converted-space"/>
          <w:sz w:val="28"/>
          <w:szCs w:val="28"/>
        </w:rPr>
        <w:t> </w:t>
      </w:r>
      <w:hyperlink r:id="rId7" w:anchor="XA00M8G2N0" w:tgtFrame="_blank" w:history="1">
        <w:r w:rsidRPr="002C0D4F">
          <w:rPr>
            <w:rStyle w:val="a4"/>
            <w:color w:val="auto"/>
            <w:sz w:val="28"/>
            <w:szCs w:val="28"/>
          </w:rPr>
          <w:t>ст. 7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>Федерального закона № 77-ФЗ противотуберкулезная помощь оказывается гражданам при их добровольном обращении или с их согласия. Противотуберкулезная помощь несовершеннолетним в возрасте до 15 лет оказывается с согласия их законных представителей. Исключения касаются диспансерного наблюдения (</w:t>
      </w:r>
      <w:hyperlink r:id="rId8" w:anchor="XA00MAM2NB" w:tgtFrame="_blank" w:history="1">
        <w:r w:rsidRPr="002C0D4F">
          <w:rPr>
            <w:rStyle w:val="a4"/>
            <w:color w:val="auto"/>
            <w:sz w:val="28"/>
            <w:szCs w:val="28"/>
          </w:rPr>
          <w:t>ст. 9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>Федерального закона № 77-ФЗ), обязательного обследования и лечения (</w:t>
      </w:r>
      <w:hyperlink r:id="rId9" w:anchor="XA00M7U2MN" w:tgtFrame="_blank" w:history="1">
        <w:r w:rsidRPr="002C0D4F">
          <w:rPr>
            <w:rStyle w:val="a4"/>
            <w:color w:val="auto"/>
            <w:sz w:val="28"/>
            <w:szCs w:val="28"/>
          </w:rPr>
          <w:t>ст. 10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>Федерального закона № 77-ФЗ).</w:t>
      </w:r>
    </w:p>
    <w:p w:rsidR="009E5042" w:rsidRPr="002C0D4F" w:rsidRDefault="009E5042" w:rsidP="002C0D4F">
      <w:pPr>
        <w:pStyle w:val="4"/>
        <w:pBdr>
          <w:top w:val="single" w:sz="2" w:space="2" w:color="4D0000"/>
          <w:left w:val="single" w:sz="2" w:space="4" w:color="4D0000"/>
          <w:bottom w:val="single" w:sz="6" w:space="2" w:color="4D0000"/>
          <w:right w:val="single" w:sz="6" w:space="4" w:color="4D0000"/>
        </w:pBdr>
        <w:shd w:val="clear" w:color="auto" w:fill="7A1220"/>
        <w:spacing w:before="0" w:line="360" w:lineRule="auto"/>
        <w:ind w:right="150" w:firstLine="5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C0D4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Внимание</w:t>
      </w:r>
    </w:p>
    <w:p w:rsidR="009E5042" w:rsidRPr="002C0D4F" w:rsidRDefault="009E5042" w:rsidP="002C0D4F">
      <w:pPr>
        <w:pStyle w:val="hp"/>
        <w:shd w:val="clear" w:color="auto" w:fill="F6F8F9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2" w:name="x7bz3ozekymwprvpidadq72d03"/>
      <w:bookmarkEnd w:id="2"/>
      <w:r w:rsidRPr="002C0D4F">
        <w:rPr>
          <w:sz w:val="28"/>
          <w:szCs w:val="28"/>
        </w:rPr>
        <w:t>Добровольность не предусмотрена лишь в отношении случаев заболевания туберкулезом. Так, диспансерное наблюдение за больными туберкулезом устанавливается независимо от согласия больных или их законных представителей (</w:t>
      </w:r>
      <w:hyperlink r:id="rId10" w:anchor="XA00MAM2NB" w:tgtFrame="_blank" w:history="1">
        <w:proofErr w:type="gramStart"/>
        <w:r w:rsidRPr="002C0D4F">
          <w:rPr>
            <w:rStyle w:val="a4"/>
            <w:color w:val="auto"/>
            <w:sz w:val="28"/>
            <w:szCs w:val="28"/>
          </w:rPr>
          <w:t>ч</w:t>
        </w:r>
        <w:proofErr w:type="gramEnd"/>
        <w:r w:rsidRPr="002C0D4F">
          <w:rPr>
            <w:rStyle w:val="a4"/>
            <w:color w:val="auto"/>
            <w:sz w:val="28"/>
            <w:szCs w:val="28"/>
          </w:rPr>
          <w:t>. 2 ст. 9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>Федерального закона № 77-ФЗ).</w:t>
      </w:r>
    </w:p>
    <w:p w:rsidR="009E5042" w:rsidRPr="002C0D4F" w:rsidRDefault="009E5042" w:rsidP="002C0D4F">
      <w:pPr>
        <w:pStyle w:val="hp"/>
        <w:shd w:val="clear" w:color="auto" w:fill="FFFFFF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3" w:name="me14"/>
      <w:bookmarkEnd w:id="3"/>
      <w:r w:rsidRPr="002C0D4F">
        <w:rPr>
          <w:sz w:val="28"/>
          <w:szCs w:val="28"/>
        </w:rPr>
        <w:t>Также в случае угрозы возникновения и распространения туберкулеза на основании предписаний главных государственных санитарных врачей и их заместителей или органа исполнительной власти субъекта РФ в порядке, установленном законодательством РФ, проводятся дополнительные противоэпидемические мероприятия (</w:t>
      </w:r>
      <w:hyperlink r:id="rId11" w:anchor="XA00M8G2MQ" w:tgtFrame="_blank" w:history="1">
        <w:r w:rsidRPr="002C0D4F">
          <w:rPr>
            <w:rStyle w:val="a4"/>
            <w:color w:val="auto"/>
            <w:sz w:val="28"/>
            <w:szCs w:val="28"/>
          </w:rPr>
          <w:t>ч. 1 ст. 10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>Закона №77-ФЗ).</w:t>
      </w:r>
    </w:p>
    <w:p w:rsidR="009E5042" w:rsidRPr="002C0D4F" w:rsidRDefault="009E5042" w:rsidP="002C0D4F">
      <w:pPr>
        <w:pStyle w:val="hp"/>
        <w:shd w:val="clear" w:color="auto" w:fill="FFFFFF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4" w:name="me15"/>
      <w:bookmarkEnd w:id="4"/>
      <w:r w:rsidRPr="002C0D4F">
        <w:rPr>
          <w:sz w:val="28"/>
          <w:szCs w:val="28"/>
        </w:rPr>
        <w:t>Никаких мер, обязывающих граждан, не являющихся больными туберкулезом, проходить обследования, не предусмотрено.</w:t>
      </w:r>
    </w:p>
    <w:p w:rsidR="009E5042" w:rsidRPr="002C0D4F" w:rsidRDefault="009E5042" w:rsidP="002C0D4F">
      <w:pPr>
        <w:pStyle w:val="hp"/>
        <w:shd w:val="clear" w:color="auto" w:fill="FFFFFF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5" w:name="me16"/>
      <w:bookmarkEnd w:id="5"/>
      <w:r w:rsidRPr="002C0D4F">
        <w:rPr>
          <w:sz w:val="28"/>
          <w:szCs w:val="28"/>
        </w:rPr>
        <w:t>Соответственно, в иных случаях граждане имеют право отказаться от обследования (от Манту, рентгенологического, флюорографического обследования и т. п.). Как показывает практика, многие родители пользуются этим правом.</w:t>
      </w:r>
    </w:p>
    <w:p w:rsidR="009E5042" w:rsidRPr="002C0D4F" w:rsidRDefault="009E5042" w:rsidP="002C0D4F">
      <w:pPr>
        <w:pStyle w:val="hp"/>
        <w:shd w:val="clear" w:color="auto" w:fill="FFFFFF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6" w:name="x4pm6pf6ls86fv9jj1gqrws6sa"/>
      <w:bookmarkEnd w:id="6"/>
      <w:r w:rsidRPr="002C0D4F">
        <w:rPr>
          <w:sz w:val="28"/>
          <w:szCs w:val="28"/>
        </w:rPr>
        <w:lastRenderedPageBreak/>
        <w:t>Однако согласно</w:t>
      </w:r>
      <w:r w:rsidRPr="002C0D4F">
        <w:rPr>
          <w:rStyle w:val="apple-converted-space"/>
          <w:sz w:val="28"/>
          <w:szCs w:val="28"/>
        </w:rPr>
        <w:t> </w:t>
      </w:r>
      <w:hyperlink r:id="rId12" w:anchor="XA00MA02N0" w:tgtFrame="_blank" w:history="1">
        <w:r w:rsidRPr="002C0D4F">
          <w:rPr>
            <w:rStyle w:val="a4"/>
            <w:color w:val="auto"/>
            <w:sz w:val="28"/>
            <w:szCs w:val="28"/>
          </w:rPr>
          <w:t>п. 5.7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 xml:space="preserve">санитарно-эпидемиологических правил "Профилактика туберкулеза. СП 3.1.2.3114-13" (далее – СП 3.1.2.3114-13), утв. постановлением Главного государственного санитарного врача РФ от 22.10.2013 № 60, дети, направленные на консультацию в противотуберкулезный диспансер, родители (законные представители) которых не представили в течение одного месяца с момента постановки пробы Манту заключение фтизиатра об отсутствии заболевания туберкулезом, не допускаются в детские организации. Дети, </w:t>
      </w:r>
      <w:proofErr w:type="spellStart"/>
      <w:r w:rsidRPr="002C0D4F">
        <w:rPr>
          <w:sz w:val="28"/>
          <w:szCs w:val="28"/>
        </w:rPr>
        <w:t>туберкулинодиагностика</w:t>
      </w:r>
      <w:proofErr w:type="spellEnd"/>
      <w:r w:rsidRPr="002C0D4F">
        <w:rPr>
          <w:sz w:val="28"/>
          <w:szCs w:val="28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9E5042" w:rsidRPr="002C0D4F" w:rsidRDefault="009E5042" w:rsidP="002C0D4F">
      <w:pPr>
        <w:pStyle w:val="hp"/>
        <w:shd w:val="clear" w:color="auto" w:fill="FFFFFF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7" w:name="x30tjxvphx4aakpfdepp6sgfq4"/>
      <w:bookmarkEnd w:id="7"/>
      <w:r w:rsidRPr="002C0D4F">
        <w:rPr>
          <w:sz w:val="28"/>
          <w:szCs w:val="28"/>
        </w:rPr>
        <w:t>Соответственно, чтобы удостовериться, что у ребенка нет туберкулеза, руководители образовательных организаций (далее - ОО) выдвигают требование – либо обязательно делать пробу Манту (без которой не допускают в школу, детский сад), либо пройти обследование, принести справку из противотуберкулезного диспансера, результаты флюорографии и т. п.</w:t>
      </w:r>
    </w:p>
    <w:p w:rsidR="009E5042" w:rsidRPr="002C0D4F" w:rsidRDefault="009E5042" w:rsidP="002C0D4F">
      <w:pPr>
        <w:pStyle w:val="hp"/>
        <w:shd w:val="clear" w:color="auto" w:fill="FFFFFF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8" w:name="me17"/>
      <w:bookmarkEnd w:id="8"/>
      <w:r w:rsidRPr="002C0D4F">
        <w:rPr>
          <w:sz w:val="28"/>
          <w:szCs w:val="28"/>
        </w:rPr>
        <w:t>Согласно</w:t>
      </w:r>
      <w:r w:rsidRPr="002C0D4F">
        <w:rPr>
          <w:rStyle w:val="apple-converted-space"/>
          <w:sz w:val="28"/>
          <w:szCs w:val="28"/>
        </w:rPr>
        <w:t> </w:t>
      </w:r>
      <w:hyperlink r:id="rId13" w:anchor="XA00M902N2" w:tgtFrame="_blank" w:history="1">
        <w:r w:rsidRPr="002C0D4F">
          <w:rPr>
            <w:rStyle w:val="a4"/>
            <w:color w:val="auto"/>
            <w:sz w:val="28"/>
            <w:szCs w:val="28"/>
          </w:rPr>
          <w:t>пп.3.1</w:t>
        </w:r>
      </w:hyperlink>
      <w:r w:rsidRPr="002C0D4F">
        <w:rPr>
          <w:sz w:val="28"/>
          <w:szCs w:val="28"/>
        </w:rPr>
        <w:t>,</w:t>
      </w:r>
      <w:r w:rsidRPr="002C0D4F">
        <w:rPr>
          <w:rStyle w:val="apple-converted-space"/>
          <w:sz w:val="28"/>
          <w:szCs w:val="28"/>
        </w:rPr>
        <w:t> </w:t>
      </w:r>
      <w:hyperlink r:id="rId14" w:anchor="XA00M9I2N5" w:tgtFrame="_blank" w:history="1">
        <w:r w:rsidRPr="002C0D4F">
          <w:rPr>
            <w:rStyle w:val="a4"/>
            <w:color w:val="auto"/>
            <w:sz w:val="28"/>
            <w:szCs w:val="28"/>
          </w:rPr>
          <w:t>3.2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 xml:space="preserve">СП 3.1.2.3114-13 выявление больных туберкулезом осуществляется врачами всех специальностей, средними медицинскими работниками медицинских и оздоровительных </w:t>
      </w:r>
      <w:proofErr w:type="spellStart"/>
      <w:r w:rsidRPr="002C0D4F">
        <w:rPr>
          <w:sz w:val="28"/>
          <w:szCs w:val="28"/>
        </w:rPr>
        <w:t>организаций.</w:t>
      </w:r>
      <w:hyperlink r:id="rId15" w:history="1">
        <w:r w:rsidRPr="002C0D4F">
          <w:rPr>
            <w:rStyle w:val="a4"/>
            <w:color w:val="auto"/>
            <w:sz w:val="28"/>
            <w:szCs w:val="28"/>
          </w:rPr>
          <w:t>При</w:t>
        </w:r>
        <w:proofErr w:type="spellEnd"/>
        <w:r w:rsidRPr="002C0D4F">
          <w:rPr>
            <w:rStyle w:val="a4"/>
            <w:color w:val="auto"/>
            <w:sz w:val="28"/>
            <w:szCs w:val="28"/>
          </w:rPr>
          <w:t xml:space="preserve"> подозрении на туберкулез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>в медицинских организациях проводится обследование заболевшего в установленном объеме в целях уточнения диагноза.</w:t>
      </w:r>
    </w:p>
    <w:p w:rsidR="009E5042" w:rsidRPr="002C0D4F" w:rsidRDefault="009E5042" w:rsidP="002C0D4F">
      <w:pPr>
        <w:pStyle w:val="4"/>
        <w:pBdr>
          <w:top w:val="single" w:sz="2" w:space="2" w:color="4D0000"/>
          <w:left w:val="single" w:sz="2" w:space="4" w:color="4D0000"/>
          <w:bottom w:val="single" w:sz="6" w:space="2" w:color="4D0000"/>
          <w:right w:val="single" w:sz="6" w:space="4" w:color="4D0000"/>
        </w:pBdr>
        <w:shd w:val="clear" w:color="auto" w:fill="7A1220"/>
        <w:spacing w:before="0" w:line="360" w:lineRule="auto"/>
        <w:ind w:right="150" w:firstLine="5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C0D4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Внимание</w:t>
      </w:r>
    </w:p>
    <w:p w:rsidR="009E5042" w:rsidRPr="002C0D4F" w:rsidRDefault="009E5042" w:rsidP="002C0D4F">
      <w:pPr>
        <w:pStyle w:val="hp"/>
        <w:shd w:val="clear" w:color="auto" w:fill="F6F8F9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9" w:name="xz4vu5onxnrojl2hq4jc85l5b"/>
      <w:bookmarkEnd w:id="9"/>
      <w:r w:rsidRPr="002C0D4F">
        <w:rPr>
          <w:sz w:val="28"/>
          <w:szCs w:val="28"/>
        </w:rPr>
        <w:t xml:space="preserve">С учетом принципа добровольности медицинского вмешательства родители ребенка вправе отказаться от </w:t>
      </w:r>
      <w:proofErr w:type="spellStart"/>
      <w:r w:rsidRPr="002C0D4F">
        <w:rPr>
          <w:sz w:val="28"/>
          <w:szCs w:val="28"/>
        </w:rPr>
        <w:t>туберкулинодиагностики</w:t>
      </w:r>
      <w:proofErr w:type="spellEnd"/>
      <w:r w:rsidRPr="002C0D4F">
        <w:rPr>
          <w:sz w:val="28"/>
          <w:szCs w:val="28"/>
        </w:rPr>
        <w:t>, но при отсутствии справки от фтизиатра отказ в приеме ребенка в ОО, по их мнению, повлечет ограничение права ребенка на образование. Однако Верховный Суд РФ решением от 17.02.2015</w:t>
      </w:r>
      <w:r w:rsidRPr="002C0D4F">
        <w:rPr>
          <w:rStyle w:val="apple-converted-space"/>
          <w:sz w:val="28"/>
          <w:szCs w:val="28"/>
        </w:rPr>
        <w:t> </w:t>
      </w:r>
      <w:hyperlink r:id="rId16" w:tgtFrame="_blank" w:history="1">
        <w:r w:rsidRPr="002C0D4F">
          <w:rPr>
            <w:rStyle w:val="a4"/>
            <w:color w:val="auto"/>
            <w:sz w:val="28"/>
            <w:szCs w:val="28"/>
          </w:rPr>
          <w:t>№ АКПИ14-1454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 xml:space="preserve">закрепил </w:t>
      </w:r>
      <w:proofErr w:type="spellStart"/>
      <w:r w:rsidRPr="002C0D4F">
        <w:rPr>
          <w:sz w:val="28"/>
          <w:szCs w:val="28"/>
        </w:rPr>
        <w:t>обоснованность</w:t>
      </w:r>
      <w:hyperlink r:id="rId17" w:anchor="XA00MA02N0" w:tgtFrame="_blank" w:history="1">
        <w:r w:rsidRPr="002C0D4F">
          <w:rPr>
            <w:rStyle w:val="a4"/>
            <w:color w:val="auto"/>
            <w:sz w:val="28"/>
            <w:szCs w:val="28"/>
          </w:rPr>
          <w:t>п</w:t>
        </w:r>
        <w:proofErr w:type="spellEnd"/>
        <w:r w:rsidRPr="002C0D4F">
          <w:rPr>
            <w:rStyle w:val="a4"/>
            <w:color w:val="auto"/>
            <w:sz w:val="28"/>
            <w:szCs w:val="28"/>
          </w:rPr>
          <w:t>. 5.7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 xml:space="preserve">СП 3.1.2.3114-13 и признал, что отказ в таком случае не является ограничением права на образование. Таким образом, установленный </w:t>
      </w:r>
      <w:r w:rsidRPr="002C0D4F">
        <w:rPr>
          <w:sz w:val="28"/>
          <w:szCs w:val="28"/>
        </w:rPr>
        <w:lastRenderedPageBreak/>
        <w:t>запрет на допуск в ОО детей без постановки реакции Манту и осмотра фтизиатра может рассматриваться как норма прямого и непосредственного действия.</w:t>
      </w:r>
    </w:p>
    <w:p w:rsidR="009E5042" w:rsidRPr="002C0D4F" w:rsidRDefault="009E5042" w:rsidP="002C0D4F">
      <w:pPr>
        <w:pStyle w:val="hp"/>
        <w:shd w:val="clear" w:color="auto" w:fill="F6F8F9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10" w:name="x1fflxtvcegvulgna0oawk5hjn"/>
      <w:bookmarkEnd w:id="10"/>
      <w:r w:rsidRPr="002C0D4F">
        <w:rPr>
          <w:sz w:val="28"/>
          <w:szCs w:val="28"/>
        </w:rPr>
        <w:t>При этом</w:t>
      </w:r>
      <w:proofErr w:type="gramStart"/>
      <w:r w:rsidRPr="002C0D4F">
        <w:rPr>
          <w:sz w:val="28"/>
          <w:szCs w:val="28"/>
        </w:rPr>
        <w:t>,</w:t>
      </w:r>
      <w:proofErr w:type="gramEnd"/>
      <w:r w:rsidRPr="002C0D4F">
        <w:rPr>
          <w:sz w:val="28"/>
          <w:szCs w:val="28"/>
        </w:rPr>
        <w:t xml:space="preserve"> необходимо отметить, что данной позиции не придерживаются органы прокуратуры (письмо Генпрокуратуры РФ от 11.09.2014 № 72/1-1164-14).</w:t>
      </w:r>
    </w:p>
    <w:p w:rsidR="009E5042" w:rsidRPr="002C0D4F" w:rsidRDefault="009E5042" w:rsidP="002C0D4F">
      <w:pPr>
        <w:pStyle w:val="hp"/>
        <w:shd w:val="clear" w:color="auto" w:fill="FFFFFF"/>
        <w:spacing w:before="0" w:beforeAutospacing="0" w:after="0" w:afterAutospacing="0" w:line="360" w:lineRule="auto"/>
        <w:ind w:firstLine="550"/>
        <w:jc w:val="both"/>
        <w:rPr>
          <w:sz w:val="28"/>
          <w:szCs w:val="28"/>
        </w:rPr>
      </w:pPr>
      <w:bookmarkStart w:id="11" w:name="xct13odiq5sg5w4homn9ta1ifu"/>
      <w:bookmarkEnd w:id="11"/>
      <w:r w:rsidRPr="002C0D4F">
        <w:rPr>
          <w:sz w:val="28"/>
          <w:szCs w:val="28"/>
        </w:rPr>
        <w:t xml:space="preserve">В случае отказа родителей (законных представителей) ребенка от проведения пробы Манту с целью своевременного выявления заболевания туберкулезом они несут ответственность за возможные последствия состояния здоровья ребенка, связанные </w:t>
      </w:r>
      <w:proofErr w:type="gramStart"/>
      <w:r w:rsidRPr="002C0D4F">
        <w:rPr>
          <w:sz w:val="28"/>
          <w:szCs w:val="28"/>
        </w:rPr>
        <w:t>с</w:t>
      </w:r>
      <w:proofErr w:type="gramEnd"/>
      <w:r w:rsidRPr="002C0D4F">
        <w:rPr>
          <w:sz w:val="28"/>
          <w:szCs w:val="28"/>
        </w:rPr>
        <w:t xml:space="preserve"> данным </w:t>
      </w:r>
      <w:proofErr w:type="spellStart"/>
      <w:r w:rsidRPr="002C0D4F">
        <w:rPr>
          <w:sz w:val="28"/>
          <w:szCs w:val="28"/>
        </w:rPr>
        <w:t>заболеванем</w:t>
      </w:r>
      <w:proofErr w:type="spellEnd"/>
      <w:r w:rsidRPr="002C0D4F">
        <w:rPr>
          <w:sz w:val="28"/>
          <w:szCs w:val="28"/>
        </w:rPr>
        <w:t>. В целях соблюдения требования законодательства можно оказать</w:t>
      </w:r>
      <w:r w:rsidRPr="002C0D4F">
        <w:rPr>
          <w:rStyle w:val="apple-converted-space"/>
          <w:sz w:val="28"/>
          <w:szCs w:val="28"/>
        </w:rPr>
        <w:t> </w:t>
      </w:r>
      <w:hyperlink r:id="rId18" w:history="1">
        <w:r w:rsidRPr="002C0D4F">
          <w:rPr>
            <w:rStyle w:val="a4"/>
            <w:color w:val="auto"/>
            <w:sz w:val="28"/>
            <w:szCs w:val="28"/>
          </w:rPr>
          <w:t>информационную помощь родителям</w:t>
        </w:r>
      </w:hyperlink>
      <w:r w:rsidRPr="002C0D4F">
        <w:rPr>
          <w:rStyle w:val="apple-converted-space"/>
          <w:sz w:val="28"/>
          <w:szCs w:val="28"/>
        </w:rPr>
        <w:t> </w:t>
      </w:r>
      <w:r w:rsidRPr="002C0D4F">
        <w:rPr>
          <w:sz w:val="28"/>
          <w:szCs w:val="28"/>
        </w:rPr>
        <w:t>для принятия ими верного решения.</w:t>
      </w:r>
    </w:p>
    <w:p w:rsidR="009E5042" w:rsidRPr="002C0D4F" w:rsidRDefault="009E5042" w:rsidP="002C0D4F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5042" w:rsidRPr="002C0D4F" w:rsidRDefault="009E5042" w:rsidP="002C0D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042" w:rsidRPr="002C0D4F" w:rsidRDefault="009E5042" w:rsidP="002C0D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5042" w:rsidRPr="002C0D4F" w:rsidSect="00387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E5042"/>
    <w:rsid w:val="002C0D4F"/>
    <w:rsid w:val="00387A82"/>
    <w:rsid w:val="009E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82"/>
  </w:style>
  <w:style w:type="paragraph" w:styleId="1">
    <w:name w:val="heading 1"/>
    <w:basedOn w:val="a"/>
    <w:next w:val="a"/>
    <w:link w:val="10"/>
    <w:uiPriority w:val="9"/>
    <w:qFormat/>
    <w:rsid w:val="009E5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E5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50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E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5042"/>
  </w:style>
  <w:style w:type="character" w:customStyle="1" w:styleId="10">
    <w:name w:val="Заголовок 1 Знак"/>
    <w:basedOn w:val="a0"/>
    <w:link w:val="1"/>
    <w:uiPriority w:val="9"/>
    <w:rsid w:val="009E50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0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p">
    <w:name w:val="hp"/>
    <w:basedOn w:val="a"/>
    <w:rsid w:val="009E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E50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fr-doc.ru/doc.aspx?npmid=99&amp;npid=901789645&amp;anchor=XA00MAM2NB&amp;getactual=1" TargetMode="External"/><Relationship Id="rId13" Type="http://schemas.openxmlformats.org/officeDocument/2006/relationships/hyperlink" Target="http://mcfr-doc.ru/doc.aspx?npmid=99&amp;npid=499056594&amp;anchor=XA00M902N2&amp;getactual=1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cfr-doc.ru/doc.aspx?npmid=99&amp;npid=901789645&amp;anchor=XA00M8G2N0&amp;getactual=1" TargetMode="External"/><Relationship Id="rId12" Type="http://schemas.openxmlformats.org/officeDocument/2006/relationships/hyperlink" Target="http://mcfr-doc.ru/doc.aspx?npmid=99&amp;npid=499056594&amp;anchor=XA00MA02N0&amp;getactual=1" TargetMode="External"/><Relationship Id="rId17" Type="http://schemas.openxmlformats.org/officeDocument/2006/relationships/hyperlink" Target="http://mcfr-doc.ru/doc.aspx?npmid=99&amp;npid=499056594&amp;anchor=XA00MA02N0&amp;getactual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cfr-doc.ru/doc.aspx?npmid=96&amp;npid=420264163&amp;getactual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cfr-doc.ru/doc.aspx?npmid=99&amp;npid=901789645&amp;getactual=1" TargetMode="External"/><Relationship Id="rId11" Type="http://schemas.openxmlformats.org/officeDocument/2006/relationships/hyperlink" Target="http://mcfr-doc.ru/doc.aspx?npmid=99&amp;npid=901789645&amp;anchor=XA00M8G2MQ&amp;getactual=1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http://mcfr-doc.ru/doc.aspx?npmid=99&amp;npid=901789645&amp;anchor=XA00MAM2NB&amp;getactual=1" TargetMode="External"/><Relationship Id="rId19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http://mcfr-doc.ru/doc.aspx?npmid=99&amp;npid=901789645&amp;anchor=XA00M7U2MN&amp;getactual=1" TargetMode="External"/><Relationship Id="rId14" Type="http://schemas.openxmlformats.org/officeDocument/2006/relationships/hyperlink" Target="http://mcfr-doc.ru/doc.aspx?npmid=99&amp;npid=499056594&amp;anchor=XA00M9I2N5&amp;getactua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838</Words>
  <Characters>4782</Characters>
  <Application>Microsoft Office Word</Application>
  <DocSecurity>0</DocSecurity>
  <Lines>39</Lines>
  <Paragraphs>11</Paragraphs>
  <ScaleCrop>false</ScaleCrop>
  <Company>Grizli777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Дмитрий Каленюк</cp:lastModifiedBy>
  <cp:revision>4</cp:revision>
  <cp:lastPrinted>2016-03-24T06:53:00Z</cp:lastPrinted>
  <dcterms:created xsi:type="dcterms:W3CDTF">2016-03-24T06:46:00Z</dcterms:created>
  <dcterms:modified xsi:type="dcterms:W3CDTF">2016-03-28T08:25:00Z</dcterms:modified>
</cp:coreProperties>
</file>